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92" w:rsidRDefault="00EA5F92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EA5F92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EA5F92" w:rsidRDefault="00513B60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Klauzula informacyjna dot. przetwarzania danych osobowych 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EA5F92">
        <w:trPr>
          <w:trHeight w:val="4748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TOŻSAMOŚĆ</w:t>
            </w:r>
          </w:p>
          <w:p w:rsidR="00EA5F92" w:rsidRDefault="00513B6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:rsidR="00EA5F92" w:rsidRDefault="00513B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Wójt/Burmistrz/Prezydent miasta (do uzupełnienia dane adresowe urzędu) – w zakresie rejestracji w Centralnym Rejestrze Wyborców </w:t>
            </w:r>
            <w:r>
              <w:rPr>
                <w:spacing w:val="-4"/>
                <w:sz w:val="18"/>
              </w:rPr>
              <w:t xml:space="preserve">danych wpływających na realizację prawa wybierania i przechowywanej </w:t>
            </w:r>
            <w:r>
              <w:rPr>
                <w:sz w:val="18"/>
              </w:rPr>
              <w:t>przez Wójta/Burmistrza/Prezydenta miasta dokumentacji pisemn</w:t>
            </w:r>
            <w:r>
              <w:rPr>
                <w:sz w:val="18"/>
              </w:rPr>
              <w:t>ej;</w:t>
            </w:r>
          </w:p>
          <w:p w:rsidR="00EA5F92" w:rsidRDefault="00513B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Konsul RP (do uzupełnienia dane adresowe urzędu) – w zakresie rejestracji w Centralnym Rejestrze Wyborców danych co do adresu </w:t>
            </w:r>
            <w:r>
              <w:rPr>
                <w:spacing w:val="-2"/>
                <w:sz w:val="18"/>
              </w:rPr>
              <w:t>przebywania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stosunku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głosujących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granicami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kraju </w:t>
            </w:r>
            <w:r>
              <w:rPr>
                <w:sz w:val="18"/>
              </w:rPr>
              <w:t>oraz przechowywanej przez Konsula dokumentacji pisemnej;</w:t>
            </w:r>
          </w:p>
          <w:p w:rsidR="00EA5F92" w:rsidRDefault="00513B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 w:hanging="360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informacje o zgłoszeniu chęci głosowania w wyborach do Parlamentu Europejskiego przeprowadza</w:t>
            </w:r>
            <w:r>
              <w:rPr>
                <w:sz w:val="18"/>
              </w:rPr>
              <w:t>nych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państwo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:rsidR="00EA5F92" w:rsidRDefault="00513B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>Minister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(00-580) przy ul. J.Ch. Szucha 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– zapewnia funkcjonowanie poza granicami </w:t>
            </w:r>
            <w:r>
              <w:rPr>
                <w:spacing w:val="-4"/>
                <w:sz w:val="18"/>
              </w:rPr>
              <w:t>kraju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wydzielonej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sieci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umożliwiającej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konsulom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dostęp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Centralneg</w:t>
            </w:r>
            <w:r>
              <w:rPr>
                <w:spacing w:val="-4"/>
                <w:sz w:val="18"/>
              </w:rPr>
              <w:t xml:space="preserve">o </w:t>
            </w:r>
            <w:r>
              <w:rPr>
                <w:sz w:val="18"/>
              </w:rPr>
              <w:t>Rejestru Wyborców.</w:t>
            </w:r>
          </w:p>
        </w:tc>
      </w:tr>
      <w:tr w:rsidR="00EA5F92">
        <w:trPr>
          <w:trHeight w:val="3320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ind w:right="3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KONTAKTOWE </w:t>
            </w:r>
            <w:r>
              <w:rPr>
                <w:rFonts w:ascii="Arial"/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 administratorem – Wójtem/Burmistrzem/Prezydentem miasta można się skontaktować pisemnie na adres siedziby administratora.</w:t>
            </w:r>
          </w:p>
          <w:p w:rsidR="00EA5F92" w:rsidRDefault="00EA5F92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:rsidR="00EA5F92" w:rsidRDefault="00513B6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administratorem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Ministrem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Cyfryzacji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można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skontaktować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poprzez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adres </w:t>
            </w:r>
            <w:r>
              <w:rPr>
                <w:sz w:val="18"/>
              </w:rPr>
              <w:t xml:space="preserve">email </w:t>
            </w:r>
            <w:hyperlink r:id="rId5">
              <w:r>
                <w:rPr>
                  <w:sz w:val="18"/>
                  <w:u w:val="single"/>
                </w:rPr>
                <w:t>kancelaria@cyfra.gov.pl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  <w:p w:rsidR="00EA5F92" w:rsidRDefault="00EA5F92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:rsidR="00EA5F92" w:rsidRDefault="00513B6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skontaktować poprzez adres e-mail: </w:t>
            </w:r>
            <w:hyperlink r:id="rId6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</w:t>
            </w:r>
            <w:r>
              <w:rPr>
                <w:spacing w:val="-2"/>
                <w:sz w:val="18"/>
              </w:rPr>
              <w:t>konsularnego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pisemnie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adresem,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zgodnie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opublikowaną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na </w:t>
            </w:r>
            <w:r>
              <w:rPr>
                <w:sz w:val="18"/>
              </w:rPr>
              <w:t>stronie: https://</w:t>
            </w:r>
            <w:hyperlink r:id="rId7">
              <w:r>
                <w:rPr>
                  <w:sz w:val="18"/>
                </w:rPr>
                <w:t>www.gov.pl/web/dyplomacja/polskie-przedstawicielstwa-na-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z w:val="18"/>
              </w:rPr>
              <w:t xml:space="preserve"> .</w:t>
            </w:r>
          </w:p>
        </w:tc>
      </w:tr>
      <w:tr w:rsidR="00EA5F92">
        <w:trPr>
          <w:trHeight w:val="4510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ind w:right="3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KONTAKTOWE </w:t>
            </w:r>
            <w:r>
              <w:rPr>
                <w:rFonts w:ascii="Arial"/>
                <w:b/>
                <w:spacing w:val="-2"/>
                <w:sz w:val="18"/>
              </w:rPr>
              <w:t xml:space="preserve">INSPEKTORA </w:t>
            </w:r>
            <w:r>
              <w:rPr>
                <w:rFonts w:ascii="Arial"/>
                <w:b/>
                <w:sz w:val="18"/>
              </w:rPr>
              <w:t>OCHRONY DANYCH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Administrator – Wój</w:t>
            </w:r>
            <w:r>
              <w:rPr>
                <w:sz w:val="18"/>
              </w:rPr>
              <w:t>t/Burmistrz/Prezydent miasta wyznaczył inspektora ochrony danych,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Pani/Pan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 w:rsidR="00D21E8C">
              <w:rPr>
                <w:sz w:val="18"/>
              </w:rPr>
              <w:t>e.mail</w:t>
            </w:r>
            <w:proofErr w:type="spellEnd"/>
            <w:r w:rsidR="00D21E8C">
              <w:rPr>
                <w:sz w:val="18"/>
              </w:rPr>
              <w:t>: iodo@zalewo.pl</w:t>
            </w:r>
          </w:p>
          <w:p w:rsidR="00EA5F92" w:rsidRDefault="00EA5F92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:rsidR="00EA5F92" w:rsidRDefault="00513B6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Cyfryzacji wyznaczył inspektora ochrony danych,</w:t>
            </w:r>
            <w:r w:rsidR="00D21E8C"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z </w:t>
            </w:r>
            <w:r>
              <w:rPr>
                <w:spacing w:val="-4"/>
                <w:sz w:val="18"/>
              </w:rPr>
              <w:t>którym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może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Pan/Pani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kontaktować,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wszystkich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sprawach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</w:t>
            </w:r>
            <w:r>
              <w:rPr>
                <w:spacing w:val="-4"/>
                <w:sz w:val="18"/>
              </w:rPr>
              <w:t>wiązanych</w:t>
            </w:r>
            <w:r>
              <w:rPr>
                <w:spacing w:val="-5"/>
                <w:sz w:val="18"/>
              </w:rPr>
              <w:t xml:space="preserve"> </w:t>
            </w:r>
            <w:r w:rsidR="00D21E8C">
              <w:rPr>
                <w:spacing w:val="-5"/>
                <w:sz w:val="18"/>
              </w:rPr>
              <w:t xml:space="preserve">                           </w:t>
            </w:r>
            <w:r>
              <w:rPr>
                <w:spacing w:val="-4"/>
                <w:sz w:val="18"/>
              </w:rPr>
              <w:t xml:space="preserve">z </w:t>
            </w:r>
            <w:r>
              <w:rPr>
                <w:sz w:val="18"/>
              </w:rPr>
              <w:t>przetwarzaniem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8">
              <w:r>
                <w:rPr>
                  <w:sz w:val="18"/>
                </w:rPr>
                <w:t>iod@mc.gov.pl</w:t>
              </w:r>
            </w:hyperlink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 na adres siedziby administratora.</w:t>
            </w:r>
          </w:p>
          <w:p w:rsidR="00EA5F92" w:rsidRDefault="00EA5F92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:rsidR="00EA5F92" w:rsidRDefault="00513B6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odniesieniu do danych przetwarzanych w Ministerstwie Spraw Zagranicznych jak i placówkach zagranicznych, inspektora ochrony danych, z którym może się Pan/Pani skontaktować poprzez email: </w:t>
            </w:r>
            <w:hyperlink r:id="rId9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</w:t>
            </w:r>
            <w:r>
              <w:rPr>
                <w:sz w:val="18"/>
              </w:rPr>
              <w:t xml:space="preserve">ie na adres siedziby </w:t>
            </w:r>
            <w:r>
              <w:rPr>
                <w:spacing w:val="-2"/>
                <w:sz w:val="18"/>
              </w:rPr>
              <w:t>administratora.</w:t>
            </w:r>
          </w:p>
          <w:p w:rsidR="00EA5F92" w:rsidRDefault="00EA5F92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:rsidR="00EA5F92" w:rsidRDefault="00513B6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każdym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wymienionych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inspektorów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ochrony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można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kontaktować </w:t>
            </w:r>
            <w:r>
              <w:rPr>
                <w:sz w:val="18"/>
              </w:rPr>
              <w:t xml:space="preserve">we wszystkich sprawach dotyczących przetwarzania danych osobowych oraz </w:t>
            </w:r>
            <w:r>
              <w:rPr>
                <w:spacing w:val="-2"/>
                <w:sz w:val="18"/>
              </w:rPr>
              <w:t>korzystania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związanych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przetwarzaniem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które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pozostają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</w:t>
            </w:r>
            <w:r>
              <w:rPr>
                <w:spacing w:val="-2"/>
                <w:sz w:val="18"/>
              </w:rPr>
              <w:t xml:space="preserve">ego </w:t>
            </w:r>
            <w:r>
              <w:rPr>
                <w:sz w:val="18"/>
              </w:rPr>
              <w:t>zakresie działania.</w:t>
            </w:r>
          </w:p>
        </w:tc>
      </w:tr>
      <w:tr w:rsidR="00EA5F92">
        <w:trPr>
          <w:trHeight w:val="940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ind w:right="2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CELE </w:t>
            </w:r>
            <w:r>
              <w:rPr>
                <w:rFonts w:ascii="Arial"/>
                <w:b/>
                <w:sz w:val="18"/>
              </w:rPr>
              <w:t>PRZETWARZANIA I PODSTAWA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72"/>
                <w:sz w:val="18"/>
              </w:rPr>
              <w:t xml:space="preserve">  </w:t>
            </w:r>
            <w:r>
              <w:rPr>
                <w:sz w:val="18"/>
              </w:rPr>
              <w:t>dane</w:t>
            </w:r>
            <w:r>
              <w:rPr>
                <w:spacing w:val="72"/>
                <w:sz w:val="18"/>
              </w:rPr>
              <w:t xml:space="preserve">  </w:t>
            </w:r>
            <w:r>
              <w:rPr>
                <w:sz w:val="18"/>
              </w:rPr>
              <w:t>będą</w:t>
            </w:r>
            <w:r>
              <w:rPr>
                <w:spacing w:val="72"/>
                <w:sz w:val="18"/>
              </w:rPr>
              <w:t xml:space="preserve">  </w:t>
            </w:r>
            <w:r>
              <w:rPr>
                <w:sz w:val="18"/>
              </w:rPr>
              <w:t>przetwarzane</w:t>
            </w:r>
            <w:r>
              <w:rPr>
                <w:spacing w:val="72"/>
                <w:sz w:val="18"/>
              </w:rPr>
              <w:t xml:space="preserve">  </w:t>
            </w:r>
            <w:r>
              <w:rPr>
                <w:sz w:val="18"/>
              </w:rPr>
              <w:t>na</w:t>
            </w:r>
            <w:r>
              <w:rPr>
                <w:spacing w:val="72"/>
                <w:sz w:val="18"/>
              </w:rPr>
              <w:t xml:space="preserve">  </w:t>
            </w:r>
            <w:r>
              <w:rPr>
                <w:sz w:val="18"/>
              </w:rPr>
              <w:t>podstawie</w:t>
            </w:r>
            <w:r>
              <w:rPr>
                <w:spacing w:val="72"/>
                <w:sz w:val="18"/>
              </w:rPr>
              <w:t xml:space="preserve">  </w:t>
            </w:r>
            <w:r>
              <w:rPr>
                <w:sz w:val="18"/>
              </w:rPr>
              <w:t>art.6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Rozporządzenia Parlamentu Europejskiego 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Rady (UE) 2016/679 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dnia 27 kwietnia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sprawie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ochrony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osób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fizycznych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związku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8"/>
              </w:rPr>
              <w:t>przetwarzaniem</w:t>
            </w:r>
          </w:p>
        </w:tc>
      </w:tr>
    </w:tbl>
    <w:p w:rsidR="00EA5F92" w:rsidRDefault="00EA5F92">
      <w:pPr>
        <w:spacing w:line="276" w:lineRule="auto"/>
        <w:jc w:val="both"/>
        <w:rPr>
          <w:rFonts w:ascii="Arial" w:hAnsi="Arial"/>
          <w:sz w:val="18"/>
        </w:rPr>
        <w:sectPr w:rsidR="00EA5F92">
          <w:type w:val="continuous"/>
          <w:pgSz w:w="11910" w:h="16840"/>
          <w:pgMar w:top="1200" w:right="1440" w:bottom="280" w:left="1300" w:header="708" w:footer="708" w:gutter="0"/>
          <w:cols w:space="708"/>
        </w:sectPr>
      </w:pPr>
    </w:p>
    <w:p w:rsidR="00EA5F92" w:rsidRDefault="00EA5F92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EA5F92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EA5F92" w:rsidRDefault="00513B60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Klauzula informacyjna dot. przetwarzania danych osobowych 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EA5F92">
        <w:trPr>
          <w:trHeight w:val="4546"/>
        </w:trPr>
        <w:tc>
          <w:tcPr>
            <w:tcW w:w="2296" w:type="dxa"/>
            <w:shd w:val="clear" w:color="auto" w:fill="D9D9D9"/>
          </w:tcPr>
          <w:p w:rsidR="00EA5F92" w:rsidRDefault="00EA5F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danych osobowych 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 sprawie swobodnego przepływu takich danych oraz uchylenia dyrektywy 95/46/WE (ogólne rozporządzenie o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ochronie danych) </w:t>
            </w:r>
            <w:r>
              <w:rPr>
                <w:sz w:val="18"/>
              </w:rPr>
              <w:t>(Dz. Urz. UE 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119 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(dalej: RODO) w związku </w:t>
            </w:r>
            <w:r w:rsidR="00D21E8C">
              <w:rPr>
                <w:sz w:val="18"/>
              </w:rPr>
              <w:t xml:space="preserve">                         </w:t>
            </w:r>
            <w:r>
              <w:rPr>
                <w:sz w:val="18"/>
              </w:rPr>
              <w:t>z przepisem szczególnym ustawy;</w:t>
            </w:r>
          </w:p>
          <w:p w:rsidR="00EA5F92" w:rsidRDefault="00513B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 Wójta/Burmistrza/Pr</w:t>
            </w:r>
            <w:r>
              <w:rPr>
                <w:sz w:val="18"/>
              </w:rPr>
              <w:t>ezydenta miasta - w celu wprowadzenia Pani/Pana danych do Centralnego Rejestru Wyborców – na podstawie art.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 497)</w:t>
            </w:r>
          </w:p>
          <w:p w:rsidR="00EA5F92" w:rsidRDefault="00513B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 wyborczy</w:t>
            </w:r>
          </w:p>
          <w:p w:rsidR="00EA5F92" w:rsidRDefault="00513B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</w:t>
            </w:r>
            <w:r>
              <w:rPr>
                <w:sz w:val="18"/>
              </w:rPr>
              <w:t>dstawie art. 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 3 ustawy</w:t>
            </w:r>
            <w:r w:rsidR="00D21E8C">
              <w:rPr>
                <w:sz w:val="18"/>
              </w:rPr>
              <w:t xml:space="preserve">                    </w:t>
            </w:r>
            <w:r>
              <w:rPr>
                <w:sz w:val="18"/>
              </w:rPr>
              <w:t xml:space="preserve"> z dnia 5 stycznia 2011 r. – Kodeks wyborczy oraz w celu utrzymania</w:t>
            </w:r>
            <w:r w:rsidR="00D21E8C">
              <w:rPr>
                <w:sz w:val="18"/>
              </w:rPr>
              <w:t xml:space="preserve">                    </w:t>
            </w:r>
            <w:bookmarkStart w:id="0" w:name="_GoBack"/>
            <w:bookmarkEnd w:id="0"/>
            <w:r>
              <w:rPr>
                <w:sz w:val="18"/>
              </w:rPr>
              <w:t xml:space="preserve"> i rozwoju rejestru</w:t>
            </w:r>
          </w:p>
          <w:p w:rsidR="00EA5F92" w:rsidRDefault="00EA5F92">
            <w:pPr>
              <w:pStyle w:val="TableParagraph"/>
              <w:spacing w:before="36"/>
              <w:ind w:left="0"/>
              <w:rPr>
                <w:rFonts w:ascii="Times New Roman"/>
                <w:sz w:val="18"/>
              </w:rPr>
            </w:pPr>
          </w:p>
          <w:p w:rsidR="00EA5F92" w:rsidRDefault="00513B6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zgromadzone w Centralnym Rejestrze służą do sporządzania spisów </w:t>
            </w:r>
            <w:r>
              <w:rPr>
                <w:spacing w:val="-2"/>
                <w:sz w:val="18"/>
              </w:rPr>
              <w:t>wyborców. Ujęcie w spisie wyborców umożliwia realizację prawa wybierania</w:t>
            </w:r>
            <w:r>
              <w:rPr>
                <w:spacing w:val="-2"/>
                <w:sz w:val="18"/>
              </w:rPr>
              <w:t>.</w:t>
            </w:r>
          </w:p>
        </w:tc>
      </w:tr>
      <w:tr w:rsidR="00EA5F92">
        <w:trPr>
          <w:trHeight w:val="1440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ODBIORCY</w:t>
            </w:r>
            <w:r>
              <w:rPr>
                <w:rFonts w:ascii="Arial"/>
                <w:b/>
                <w:spacing w:val="-2"/>
                <w:sz w:val="18"/>
              </w:rPr>
              <w:t xml:space="preserve"> DANYCH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:rsidR="00EA5F92" w:rsidRDefault="00513B6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 Wyborców;</w:t>
            </w:r>
          </w:p>
          <w:p w:rsidR="00EA5F92" w:rsidRDefault="00513B6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965"/>
                <w:tab w:val="left" w:pos="2822"/>
                <w:tab w:val="left" w:pos="3840"/>
                <w:tab w:val="left" w:pos="4157"/>
                <w:tab w:val="left" w:pos="4505"/>
                <w:tab w:val="left" w:pos="5392"/>
              </w:tabs>
              <w:spacing w:before="5"/>
              <w:ind w:left="827" w:hanging="359"/>
              <w:rPr>
                <w:sz w:val="18"/>
              </w:rPr>
            </w:pPr>
            <w:r>
              <w:rPr>
                <w:spacing w:val="-2"/>
                <w:sz w:val="18"/>
              </w:rPr>
              <w:t>Państwowa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Komisja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Wyborcza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zakresie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nadzorowania</w:t>
            </w:r>
          </w:p>
          <w:p w:rsidR="00EA5F92" w:rsidRDefault="00513B60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pacing w:val="-2"/>
                <w:sz w:val="18"/>
              </w:rPr>
              <w:t>prawidłowości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aktualizowania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Centralnego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Wyborców.</w:t>
            </w:r>
          </w:p>
        </w:tc>
      </w:tr>
      <w:tr w:rsidR="00EA5F92">
        <w:trPr>
          <w:trHeight w:val="2130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ind w:right="1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PRZEKAZANIE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OSOBOWYCH DO PAŃSTWA TRZECIEGO LUB </w:t>
            </w:r>
            <w:r>
              <w:rPr>
                <w:rFonts w:ascii="Arial" w:hAnsi="Arial"/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o obywatelach Unii Europejskiej niebędących obywatelami polskimi, </w:t>
            </w:r>
            <w:r>
              <w:rPr>
                <w:spacing w:val="-2"/>
                <w:sz w:val="18"/>
              </w:rPr>
              <w:t>korzystających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Rzeczypospolitej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przekazywane </w:t>
            </w:r>
            <w:r>
              <w:rPr>
                <w:sz w:val="18"/>
              </w:rPr>
              <w:t xml:space="preserve">przez Ministra Cyfryzacji </w:t>
            </w:r>
            <w:r>
              <w:rPr>
                <w:sz w:val="18"/>
              </w:rPr>
              <w:t xml:space="preserve">właściwym organom państw członkowskich Unii </w:t>
            </w:r>
            <w:r>
              <w:rPr>
                <w:spacing w:val="-2"/>
                <w:sz w:val="18"/>
              </w:rPr>
              <w:t>Europejskiej.</w:t>
            </w:r>
          </w:p>
          <w:p w:rsidR="00EA5F92" w:rsidRDefault="00513B6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Unii Europejskiej, na ich wniosek, dane dotyczące obywateli polskich chcących </w:t>
            </w:r>
            <w:r>
              <w:rPr>
                <w:spacing w:val="-2"/>
                <w:sz w:val="18"/>
              </w:rPr>
              <w:t>korzystać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wyborczych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terytorium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państwa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członkowskiego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Unii </w:t>
            </w:r>
            <w:r>
              <w:rPr>
                <w:sz w:val="18"/>
              </w:rPr>
              <w:t>Europejskiej, w zakresie niezbędnym do korzystania z tych praw.</w:t>
            </w:r>
          </w:p>
        </w:tc>
      </w:tr>
      <w:tr w:rsidR="00EA5F92">
        <w:trPr>
          <w:trHeight w:val="5224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obejmuje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momentu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 dnia zarejestrowania dla tej osoby zgonu lub utraty obywatelstwa polskiego.</w:t>
            </w:r>
          </w:p>
          <w:p w:rsidR="00EA5F92" w:rsidRDefault="00EA5F92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:rsidR="00EA5F92" w:rsidRDefault="00513B6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Dla wyborców będących obywatelami Unii Europejskiej niebędących obywatelami </w:t>
            </w:r>
            <w:r>
              <w:rPr>
                <w:sz w:val="18"/>
              </w:rPr>
              <w:t>polskimi oraz obywatelami Zjednoczonego Królestwa Wielkiej Brytanii i Irlandii Północnej, upr</w:t>
            </w:r>
            <w:r>
              <w:rPr>
                <w:sz w:val="18"/>
              </w:rPr>
              <w:t>awnionych do korzystania z praw wyborczych w Rzeczypospolitej Polskiej okres przechowywania danych rozpoczyna się od momentu ujęcia na wniosek w obwodzie glosowania do czasu złożenia w gminie tj. u Wójta/Prezydenta/Burmistrza wniosku o skreślenie z Central</w:t>
            </w:r>
            <w:r>
              <w:rPr>
                <w:sz w:val="18"/>
              </w:rPr>
              <w:t>nego Rejestru Wyborców albo zarejestrowania w Polsce zgonu lub utraty obywatelstwa uprawniającego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Polsce.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Natomiast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 czasu przesłania właściwemu organowi państwa członkowskiego Unii Europejskiej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skreśleniu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 ile przesłał uprzednio do tego organu informację, o korzystaniu z praw wyborczych w Rzeczypospolitej Polskiej w związku ze zgłoszeniem wniosku.</w:t>
            </w:r>
          </w:p>
          <w:p w:rsidR="00EA5F92" w:rsidRDefault="00EA5F92">
            <w:pPr>
              <w:pStyle w:val="TableParagraph"/>
              <w:spacing w:before="30"/>
              <w:ind w:left="0"/>
              <w:rPr>
                <w:rFonts w:ascii="Times New Roman"/>
                <w:sz w:val="18"/>
              </w:rPr>
            </w:pPr>
          </w:p>
          <w:p w:rsidR="00EA5F92" w:rsidRDefault="00513B60">
            <w:pPr>
              <w:pStyle w:val="TableParagraph"/>
              <w:spacing w:before="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</w:t>
            </w:r>
            <w:r>
              <w:rPr>
                <w:sz w:val="18"/>
              </w:rPr>
              <w:t xml:space="preserve"> Wyborców przechowywane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utworzenia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(art.18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 5 stycznia 2011 r. – Kodeks wyborczy).</w:t>
            </w:r>
          </w:p>
        </w:tc>
      </w:tr>
    </w:tbl>
    <w:p w:rsidR="00EA5F92" w:rsidRDefault="00EA5F92">
      <w:pPr>
        <w:spacing w:line="276" w:lineRule="auto"/>
        <w:jc w:val="both"/>
        <w:rPr>
          <w:sz w:val="18"/>
        </w:rPr>
        <w:sectPr w:rsidR="00EA5F92">
          <w:pgSz w:w="11910" w:h="16840"/>
          <w:pgMar w:top="1200" w:right="1440" w:bottom="280" w:left="1300" w:header="708" w:footer="708" w:gutter="0"/>
          <w:cols w:space="708"/>
        </w:sectPr>
      </w:pPr>
    </w:p>
    <w:p w:rsidR="00EA5F92" w:rsidRDefault="00EA5F92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EA5F92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EA5F92" w:rsidRDefault="00513B60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Klauzula informacyjna dot. przetwarzania danych osobowych 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EA5F92">
        <w:trPr>
          <w:trHeight w:val="1654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ind w:right="2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PRAWA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PODMIOTÓW </w:t>
            </w:r>
            <w:r>
              <w:rPr>
                <w:rFonts w:ascii="Arial" w:hAnsi="Arial"/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Pani/Panu:</w:t>
            </w:r>
          </w:p>
          <w:p w:rsidR="00EA5F92" w:rsidRDefault="00513B60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dostępu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danych;</w:t>
            </w:r>
          </w:p>
          <w:p w:rsidR="00EA5F92" w:rsidRDefault="00513B60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-prawo żądania ich sprostowania. Do weryfikacji prawidłowości danych osobowych zawartych w Centralnym Rejestrze Wyborców oraz stwierdzania </w:t>
            </w:r>
            <w:r>
              <w:rPr>
                <w:spacing w:val="-4"/>
                <w:sz w:val="18"/>
              </w:rPr>
              <w:t>niezgodności tych danych</w:t>
            </w:r>
            <w:r>
              <w:rPr>
                <w:spacing w:val="-4"/>
                <w:sz w:val="18"/>
              </w:rPr>
              <w:t xml:space="preserve"> ze stanem faktycznym stosuje się art. 11 ustawy z dnia </w:t>
            </w:r>
            <w:r>
              <w:rPr>
                <w:sz w:val="18"/>
              </w:rPr>
              <w:t>24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września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EA5F92">
        <w:trPr>
          <w:trHeight w:val="1178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PRAWO WNIESIENIA SKARGI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ORGANU </w:t>
            </w:r>
            <w:r>
              <w:rPr>
                <w:rFonts w:ascii="Arial"/>
                <w:b/>
                <w:spacing w:val="-2"/>
                <w:sz w:val="18"/>
              </w:rPr>
              <w:t>NADZORCZEGO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Przysługuje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również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prawo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wniesienia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skargi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organu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nadzorczego</w:t>
            </w:r>
          </w:p>
          <w:p w:rsidR="00EA5F92" w:rsidRDefault="00513B60">
            <w:pPr>
              <w:pStyle w:val="TableParagraph"/>
              <w:spacing w:before="31" w:line="276" w:lineRule="auto"/>
              <w:ind w:right="221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Prezesa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Urzędu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Ochrony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Osobowych; </w:t>
            </w:r>
            <w:hyperlink r:id="rId10">
              <w:r>
                <w:rPr>
                  <w:sz w:val="18"/>
                </w:rPr>
                <w:t>Adres:</w:t>
              </w:r>
            </w:hyperlink>
            <w:r>
              <w:rPr>
                <w:sz w:val="18"/>
              </w:rPr>
              <w:t xml:space="preserve"> Stawki 2, 00-193 Warszawa</w:t>
            </w:r>
          </w:p>
        </w:tc>
      </w:tr>
      <w:tr w:rsidR="00EA5F92">
        <w:trPr>
          <w:trHeight w:val="1178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ind w:right="1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 xml:space="preserve">ŹRÓDŁO POCHODZENIA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PESEL.</w:t>
            </w:r>
          </w:p>
          <w:p w:rsidR="00EA5F92" w:rsidRDefault="00513B60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wprowadzane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także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6"/>
                <w:sz w:val="18"/>
              </w:rPr>
              <w:t xml:space="preserve">podstawie orzeczeń sądowych wpływających na realizację prawa wybierania oraz </w:t>
            </w:r>
            <w:r>
              <w:rPr>
                <w:sz w:val="18"/>
              </w:rPr>
              <w:t>składanych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EA5F92">
        <w:trPr>
          <w:trHeight w:val="2130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ind w:right="16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INFORMACJA O DOWOLNOŚCI LUB OBOWIĄZKU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PODANIA DANYCH ORAZ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KONSEKWENCJACH </w:t>
            </w:r>
            <w:r>
              <w:rPr>
                <w:rFonts w:ascii="Arial" w:hAnsi="Arial"/>
                <w:b/>
                <w:sz w:val="18"/>
              </w:rPr>
              <w:t>NIEPODANIA DANYCH</w:t>
            </w:r>
          </w:p>
        </w:tc>
        <w:tc>
          <w:tcPr>
            <w:tcW w:w="6622" w:type="dxa"/>
          </w:tcPr>
          <w:p w:rsidR="00EA5F92" w:rsidRDefault="00513B6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ukończeniu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</w:t>
            </w:r>
            <w:r>
              <w:rPr>
                <w:sz w:val="18"/>
              </w:rPr>
              <w:t>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lat.</w:t>
            </w:r>
          </w:p>
          <w:p w:rsidR="00EA5F92" w:rsidRDefault="00513B6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>
              <w:rPr>
                <w:spacing w:val="-2"/>
                <w:sz w:val="18"/>
              </w:rPr>
              <w:t>żądania.</w:t>
            </w:r>
          </w:p>
        </w:tc>
      </w:tr>
      <w:tr w:rsidR="00EA5F92">
        <w:trPr>
          <w:trHeight w:val="2130"/>
        </w:trPr>
        <w:tc>
          <w:tcPr>
            <w:tcW w:w="2296" w:type="dxa"/>
            <w:shd w:val="clear" w:color="auto" w:fill="D9D9D9"/>
          </w:tcPr>
          <w:p w:rsidR="00EA5F92" w:rsidRDefault="00513B6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INFORMACJA O </w:t>
            </w:r>
            <w:r>
              <w:rPr>
                <w:rFonts w:ascii="Arial"/>
                <w:b/>
                <w:spacing w:val="-2"/>
                <w:sz w:val="18"/>
              </w:rPr>
              <w:t xml:space="preserve">ZAUTOMATYZOWANYM PODEJMOWANIU </w:t>
            </w:r>
            <w:r>
              <w:rPr>
                <w:rFonts w:ascii="Arial"/>
                <w:b/>
                <w:sz w:val="18"/>
              </w:rPr>
              <w:t xml:space="preserve">DECYZJI I </w:t>
            </w:r>
            <w:r>
              <w:rPr>
                <w:rFonts w:ascii="Arial"/>
                <w:b/>
                <w:spacing w:val="-2"/>
                <w:sz w:val="18"/>
              </w:rPr>
              <w:t>PROFILOWANIU</w:t>
            </w:r>
          </w:p>
        </w:tc>
        <w:tc>
          <w:tcPr>
            <w:tcW w:w="6622" w:type="dxa"/>
          </w:tcPr>
          <w:p w:rsidR="00EA5F92" w:rsidRDefault="00EA5F92">
            <w:pPr>
              <w:pStyle w:val="TableParagraph"/>
              <w:spacing w:before="144"/>
              <w:ind w:left="0"/>
              <w:rPr>
                <w:rFonts w:ascii="Times New Roman"/>
                <w:sz w:val="18"/>
              </w:rPr>
            </w:pPr>
          </w:p>
          <w:p w:rsidR="00EA5F92" w:rsidRDefault="00513B60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0" w:line="276" w:lineRule="auto"/>
              <w:ind w:right="96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</w:p>
        </w:tc>
      </w:tr>
    </w:tbl>
    <w:p w:rsidR="00513B60" w:rsidRDefault="00513B60"/>
    <w:sectPr w:rsidR="00513B60">
      <w:pgSz w:w="11910" w:h="16840"/>
      <w:pgMar w:top="120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128B"/>
    <w:multiLevelType w:val="hybridMultilevel"/>
    <w:tmpl w:val="079413D2"/>
    <w:lvl w:ilvl="0" w:tplc="9CD07F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F6AA4E2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DA8EFED2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878451B2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8C006E6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5A5A8ED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FEDCD64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EFA42FD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AA78524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A6D021B"/>
    <w:multiLevelType w:val="hybridMultilevel"/>
    <w:tmpl w:val="DEF87C04"/>
    <w:lvl w:ilvl="0" w:tplc="420AEC1E">
      <w:start w:val="1"/>
      <w:numFmt w:val="decimal"/>
      <w:lvlText w:val="%1."/>
      <w:lvlJc w:val="left"/>
      <w:pPr>
        <w:ind w:left="828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C3C880E">
      <w:numFmt w:val="bullet"/>
      <w:lvlText w:val="•"/>
      <w:lvlJc w:val="left"/>
      <w:pPr>
        <w:ind w:left="1399" w:hanging="361"/>
      </w:pPr>
      <w:rPr>
        <w:rFonts w:hint="default"/>
        <w:lang w:val="pl-PL" w:eastAsia="en-US" w:bidi="ar-SA"/>
      </w:rPr>
    </w:lvl>
    <w:lvl w:ilvl="2" w:tplc="F15CF2EE">
      <w:numFmt w:val="bullet"/>
      <w:lvlText w:val="•"/>
      <w:lvlJc w:val="left"/>
      <w:pPr>
        <w:ind w:left="1978" w:hanging="361"/>
      </w:pPr>
      <w:rPr>
        <w:rFonts w:hint="default"/>
        <w:lang w:val="pl-PL" w:eastAsia="en-US" w:bidi="ar-SA"/>
      </w:rPr>
    </w:lvl>
    <w:lvl w:ilvl="3" w:tplc="1AF6B234">
      <w:numFmt w:val="bullet"/>
      <w:lvlText w:val="•"/>
      <w:lvlJc w:val="left"/>
      <w:pPr>
        <w:ind w:left="2557" w:hanging="361"/>
      </w:pPr>
      <w:rPr>
        <w:rFonts w:hint="default"/>
        <w:lang w:val="pl-PL" w:eastAsia="en-US" w:bidi="ar-SA"/>
      </w:rPr>
    </w:lvl>
    <w:lvl w:ilvl="4" w:tplc="158C051A">
      <w:numFmt w:val="bullet"/>
      <w:lvlText w:val="•"/>
      <w:lvlJc w:val="left"/>
      <w:pPr>
        <w:ind w:left="3136" w:hanging="361"/>
      </w:pPr>
      <w:rPr>
        <w:rFonts w:hint="default"/>
        <w:lang w:val="pl-PL" w:eastAsia="en-US" w:bidi="ar-SA"/>
      </w:rPr>
    </w:lvl>
    <w:lvl w:ilvl="5" w:tplc="251CEA88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6" w:tplc="2AC40DE2">
      <w:numFmt w:val="bullet"/>
      <w:lvlText w:val="•"/>
      <w:lvlJc w:val="left"/>
      <w:pPr>
        <w:ind w:left="4295" w:hanging="361"/>
      </w:pPr>
      <w:rPr>
        <w:rFonts w:hint="default"/>
        <w:lang w:val="pl-PL" w:eastAsia="en-US" w:bidi="ar-SA"/>
      </w:rPr>
    </w:lvl>
    <w:lvl w:ilvl="7" w:tplc="DCE25CC8">
      <w:numFmt w:val="bullet"/>
      <w:lvlText w:val="•"/>
      <w:lvlJc w:val="left"/>
      <w:pPr>
        <w:ind w:left="4874" w:hanging="361"/>
      </w:pPr>
      <w:rPr>
        <w:rFonts w:hint="default"/>
        <w:lang w:val="pl-PL" w:eastAsia="en-US" w:bidi="ar-SA"/>
      </w:rPr>
    </w:lvl>
    <w:lvl w:ilvl="8" w:tplc="DAA0DF68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7F3A1C9D"/>
    <w:multiLevelType w:val="hybridMultilevel"/>
    <w:tmpl w:val="E12CF424"/>
    <w:lvl w:ilvl="0" w:tplc="8C947C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E1CE09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7AAEF85A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45E248E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BF45BA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9AFAE516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25823F1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42CC2116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BD1C82DA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F92"/>
    <w:rsid w:val="00513B60"/>
    <w:rsid w:val="00D21E8C"/>
    <w:rsid w:val="00E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76090-F477-404D-A7D7-FEF71C5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dyplomacja/polskie-przedstawicielstwa-n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z.gov.pl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1265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ug123</cp:lastModifiedBy>
  <cp:revision>3</cp:revision>
  <dcterms:created xsi:type="dcterms:W3CDTF">2024-02-26T09:09:00Z</dcterms:created>
  <dcterms:modified xsi:type="dcterms:W3CDTF">2024-02-26T09:04:00Z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2024-02-26T00:00:00Z</vt:filetime>
  </property>
  <property fmtid="{D5CDD505-2E9C-101B-9397-08002B2CF9AE}" pid="5" name="Producer">
    <vt:lpwstr>Aspose.Words for .NET 21.2.0</vt:lpwstr>
  </property>
</Properties>
</file>